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D4" w:rsidRDefault="00B35ED4">
      <w:bookmarkStart w:id="0" w:name="_GoBack"/>
      <w:bookmarkEnd w:id="0"/>
    </w:p>
    <w:tbl>
      <w:tblPr>
        <w:tblW w:w="954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740"/>
      </w:tblGrid>
      <w:tr w:rsidR="00F76AAF" w:rsidRPr="00A84740" w:rsidTr="00CB43C2">
        <w:trPr>
          <w:cantSplit/>
        </w:trPr>
        <w:tc>
          <w:tcPr>
            <w:tcW w:w="9540" w:type="dxa"/>
            <w:gridSpan w:val="2"/>
            <w:tcBorders>
              <w:bottom w:val="single" w:sz="4" w:space="0" w:color="auto"/>
            </w:tcBorders>
            <w:shd w:val="clear" w:color="auto" w:fill="0C0C0C"/>
          </w:tcPr>
          <w:p w:rsidR="00F76AAF" w:rsidRPr="00A84740" w:rsidRDefault="00F76AAF">
            <w:pPr>
              <w:pStyle w:val="Heading7"/>
              <w:keepNext w:val="0"/>
              <w:rPr>
                <w:rFonts w:ascii="Palatino Linotype" w:hAnsi="Palatino Linotype" w:cs="Times New Roman"/>
                <w:sz w:val="22"/>
              </w:rPr>
            </w:pPr>
            <w:r w:rsidRPr="00A84740">
              <w:rPr>
                <w:rFonts w:ascii="Palatino Linotype" w:hAnsi="Palatino Linotype" w:cs="Times New Roman"/>
                <w:sz w:val="22"/>
              </w:rPr>
              <w:t>General Report Description</w:t>
            </w:r>
          </w:p>
        </w:tc>
      </w:tr>
      <w:tr w:rsidR="00F76AAF" w:rsidRPr="00A84740" w:rsidTr="00CB43C2">
        <w:trPr>
          <w:cantSplit/>
        </w:trPr>
        <w:tc>
          <w:tcPr>
            <w:tcW w:w="9540" w:type="dxa"/>
            <w:gridSpan w:val="2"/>
            <w:shd w:val="clear" w:color="auto" w:fill="BFBFBF"/>
          </w:tcPr>
          <w:p w:rsidR="00F76AAF" w:rsidRPr="00A84740" w:rsidRDefault="00B35ED4" w:rsidP="00B35ED4">
            <w:pPr>
              <w:pStyle w:val="Heading8"/>
              <w:keepNext w:val="0"/>
              <w:rPr>
                <w:rFonts w:ascii="Palatino Linotype" w:hAnsi="Palatino Linotype"/>
                <w:color w:val="auto"/>
                <w:sz w:val="22"/>
              </w:rPr>
            </w:pPr>
            <w:r>
              <w:rPr>
                <w:rFonts w:ascii="Palatino Linotype" w:hAnsi="Palatino Linotype"/>
                <w:color w:val="auto"/>
                <w:sz w:val="22"/>
              </w:rPr>
              <w:t>AN-AFS   Annual Audited Financial Statement</w:t>
            </w:r>
          </w:p>
        </w:tc>
      </w:tr>
      <w:tr w:rsidR="00F76AAF" w:rsidRPr="00A84740" w:rsidTr="00435C87">
        <w:tc>
          <w:tcPr>
            <w:tcW w:w="1800" w:type="dxa"/>
            <w:shd w:val="clear" w:color="auto" w:fill="BFBFBF"/>
          </w:tcPr>
          <w:p w:rsidR="00F76AAF" w:rsidRPr="00A84740" w:rsidRDefault="00F76AAF">
            <w:pPr>
              <w:pStyle w:val="Heading3"/>
              <w:keepNext w:val="0"/>
              <w:spacing w:before="60" w:after="60"/>
              <w:rPr>
                <w:rFonts w:ascii="Palatino Linotype" w:hAnsi="Palatino Linotype" w:cs="Times New Roman"/>
                <w:i w:val="0"/>
                <w:iCs w:val="0"/>
                <w:smallCaps w:val="0"/>
                <w:sz w:val="22"/>
              </w:rPr>
            </w:pPr>
            <w:r w:rsidRPr="00A84740">
              <w:rPr>
                <w:rFonts w:ascii="Palatino Linotype" w:hAnsi="Palatino Linotype" w:cs="Times New Roman"/>
                <w:i w:val="0"/>
                <w:iCs w:val="0"/>
                <w:smallCaps w:val="0"/>
                <w:sz w:val="22"/>
              </w:rPr>
              <w:t>Purpose</w:t>
            </w:r>
          </w:p>
        </w:tc>
        <w:tc>
          <w:tcPr>
            <w:tcW w:w="7740" w:type="dxa"/>
          </w:tcPr>
          <w:p w:rsidR="00F76AAF" w:rsidRPr="00B35ED4" w:rsidRDefault="00B35ED4" w:rsidP="00B35ED4">
            <w:pPr>
              <w:pStyle w:val="NoSpacing"/>
              <w:rPr>
                <w:rFonts w:ascii="Palatino Linotype" w:hAnsi="Palatino Linotype"/>
              </w:rPr>
            </w:pPr>
            <w:r w:rsidRPr="00852339">
              <w:rPr>
                <w:rFonts w:ascii="Palatino Linotype" w:hAnsi="Palatino Linotype"/>
              </w:rPr>
              <w:t xml:space="preserve">Monitor the </w:t>
            </w:r>
            <w:r w:rsidR="00C376B6">
              <w:rPr>
                <w:rFonts w:ascii="Palatino Linotype" w:hAnsi="Palatino Linotype"/>
              </w:rPr>
              <w:t>PA v</w:t>
            </w:r>
            <w:r>
              <w:rPr>
                <w:rFonts w:ascii="Palatino Linotype" w:hAnsi="Palatino Linotype"/>
              </w:rPr>
              <w:t>endor</w:t>
            </w:r>
            <w:r w:rsidRPr="00852339">
              <w:rPr>
                <w:rFonts w:ascii="Palatino Linotype" w:hAnsi="Palatino Linotype"/>
              </w:rPr>
              <w:t>’s financial trends to assess its stability and continued ability to offer services to members.</w:t>
            </w:r>
          </w:p>
        </w:tc>
      </w:tr>
      <w:tr w:rsidR="00F76AAF" w:rsidRPr="00A84740" w:rsidTr="00435C87">
        <w:tc>
          <w:tcPr>
            <w:tcW w:w="1800" w:type="dxa"/>
            <w:shd w:val="clear" w:color="auto" w:fill="BFBFBF"/>
          </w:tcPr>
          <w:p w:rsidR="00F76AAF" w:rsidRPr="00A84740" w:rsidRDefault="00113327">
            <w:pPr>
              <w:spacing w:before="60" w:after="6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>Format</w:t>
            </w:r>
          </w:p>
        </w:tc>
        <w:tc>
          <w:tcPr>
            <w:tcW w:w="7740" w:type="dxa"/>
          </w:tcPr>
          <w:p w:rsidR="00F76AAF" w:rsidRPr="00A84740" w:rsidRDefault="00C376B6" w:rsidP="00B35ED4">
            <w:pPr>
              <w:spacing w:before="60" w:after="60"/>
              <w:rPr>
                <w:rFonts w:ascii="Palatino Linotype" w:hAnsi="Palatino Linotype"/>
                <w:sz w:val="22"/>
              </w:rPr>
            </w:pPr>
            <w:r>
              <w:rPr>
                <w:rFonts w:ascii="Palatino Linotype" w:hAnsi="Palatino Linotype"/>
                <w:sz w:val="22"/>
              </w:rPr>
              <w:t>PA v</w:t>
            </w:r>
            <w:r w:rsidR="00B35ED4">
              <w:rPr>
                <w:rFonts w:ascii="Palatino Linotype" w:hAnsi="Palatino Linotype"/>
                <w:sz w:val="22"/>
              </w:rPr>
              <w:t>endor format</w:t>
            </w:r>
          </w:p>
        </w:tc>
      </w:tr>
      <w:tr w:rsidR="00F76AAF" w:rsidRPr="00A84740" w:rsidTr="00435C87">
        <w:tc>
          <w:tcPr>
            <w:tcW w:w="1800" w:type="dxa"/>
            <w:tcBorders>
              <w:bottom w:val="single" w:sz="4" w:space="0" w:color="auto"/>
            </w:tcBorders>
            <w:shd w:val="clear" w:color="auto" w:fill="BFBFBF"/>
          </w:tcPr>
          <w:p w:rsidR="00F76AAF" w:rsidRPr="00A84740" w:rsidRDefault="00113327">
            <w:pPr>
              <w:pStyle w:val="Heading5"/>
              <w:keepNext w:val="0"/>
              <w:spacing w:before="60" w:after="60"/>
              <w:rPr>
                <w:rFonts w:ascii="Palatino Linotype" w:hAnsi="Palatino Linotype"/>
                <w:i w:val="0"/>
                <w:iCs w:val="0"/>
                <w:sz w:val="22"/>
              </w:rPr>
            </w:pPr>
            <w:r w:rsidRPr="00A84740">
              <w:rPr>
                <w:rFonts w:ascii="Palatino Linotype" w:hAnsi="Palatino Linotype"/>
                <w:i w:val="0"/>
                <w:iCs w:val="0"/>
                <w:sz w:val="22"/>
              </w:rPr>
              <w:t>Qualifications/ Definitions</w:t>
            </w:r>
          </w:p>
        </w:tc>
        <w:tc>
          <w:tcPr>
            <w:tcW w:w="7740" w:type="dxa"/>
            <w:tcBorders>
              <w:bottom w:val="single" w:sz="4" w:space="0" w:color="auto"/>
            </w:tcBorders>
            <w:shd w:val="clear" w:color="auto" w:fill="auto"/>
          </w:tcPr>
          <w:p w:rsidR="004D3DE8" w:rsidRPr="00A84740" w:rsidRDefault="00B35ED4" w:rsidP="00B35ED4">
            <w:pPr>
              <w:spacing w:before="60" w:after="60"/>
              <w:rPr>
                <w:rFonts w:ascii="Palatino Linotype" w:hAnsi="Palatino Linotype"/>
                <w:sz w:val="22"/>
              </w:rPr>
            </w:pPr>
            <w:r w:rsidRPr="00852339">
              <w:rPr>
                <w:rFonts w:ascii="Palatino Linotype" w:hAnsi="Palatino Linotype"/>
              </w:rPr>
              <w:t xml:space="preserve">This is as annual report.  The </w:t>
            </w:r>
            <w:r w:rsidR="00C376B6">
              <w:rPr>
                <w:rFonts w:ascii="Palatino Linotype" w:hAnsi="Palatino Linotype"/>
              </w:rPr>
              <w:t>PA v</w:t>
            </w:r>
            <w:r>
              <w:rPr>
                <w:rFonts w:ascii="Palatino Linotype" w:hAnsi="Palatino Linotype"/>
              </w:rPr>
              <w:t>endor</w:t>
            </w:r>
            <w:r w:rsidRPr="00852339">
              <w:rPr>
                <w:rFonts w:ascii="Palatino Linotype" w:hAnsi="Palatino Linotype"/>
              </w:rPr>
              <w:t xml:space="preserve"> submit</w:t>
            </w:r>
            <w:r>
              <w:rPr>
                <w:rFonts w:ascii="Palatino Linotype" w:hAnsi="Palatino Linotype"/>
              </w:rPr>
              <w:t>s</w:t>
            </w:r>
            <w:r w:rsidRPr="00852339">
              <w:rPr>
                <w:rFonts w:ascii="Palatino Linotype" w:hAnsi="Palatino Linotype"/>
              </w:rPr>
              <w:t xml:space="preserve"> this report to the OMPP by June 30th of each year.  A Certified Public Accountant must complete the audited financial statement using generally accepted accounting principles.  Identify the calendar year for which the financial information data is being submitted</w:t>
            </w:r>
          </w:p>
        </w:tc>
      </w:tr>
      <w:tr w:rsidR="00076B0A" w:rsidRPr="00A84740" w:rsidTr="00CB43C2">
        <w:trPr>
          <w:cantSplit/>
        </w:trPr>
        <w:tc>
          <w:tcPr>
            <w:tcW w:w="9540" w:type="dxa"/>
            <w:gridSpan w:val="2"/>
            <w:tcBorders>
              <w:bottom w:val="single" w:sz="4" w:space="0" w:color="auto"/>
            </w:tcBorders>
            <w:shd w:val="clear" w:color="auto" w:fill="0C0C0C"/>
          </w:tcPr>
          <w:p w:rsidR="00076B0A" w:rsidRPr="00A84740" w:rsidRDefault="00B35ED4" w:rsidP="00975D18">
            <w:pPr>
              <w:pStyle w:val="Heading7"/>
              <w:keepNext w:val="0"/>
              <w:rPr>
                <w:rFonts w:ascii="Palatino Linotype" w:hAnsi="Palatino Linotype" w:cs="Times New Roman"/>
                <w:sz w:val="22"/>
              </w:rPr>
            </w:pPr>
            <w:r>
              <w:rPr>
                <w:rFonts w:ascii="Palatino Linotype" w:hAnsi="Palatino Linotype" w:cs="Times New Roman"/>
                <w:sz w:val="22"/>
              </w:rPr>
              <w:t>AN-AFS</w:t>
            </w:r>
            <w:r w:rsidR="00076B0A" w:rsidRPr="00A84740">
              <w:rPr>
                <w:rFonts w:ascii="Palatino Linotype" w:hAnsi="Palatino Linotype" w:cs="Times New Roman"/>
                <w:sz w:val="22"/>
              </w:rPr>
              <w:t xml:space="preserve"> Data Elements</w:t>
            </w:r>
          </w:p>
        </w:tc>
      </w:tr>
      <w:tr w:rsidR="00113327" w:rsidRPr="00A84740" w:rsidTr="00435C87">
        <w:trPr>
          <w:cantSplit/>
        </w:trPr>
        <w:tc>
          <w:tcPr>
            <w:tcW w:w="1800" w:type="dxa"/>
            <w:shd w:val="clear" w:color="auto" w:fill="BFBFBF" w:themeFill="background1" w:themeFillShade="BF"/>
          </w:tcPr>
          <w:p w:rsidR="00113327" w:rsidRPr="00A84740" w:rsidRDefault="00113327" w:rsidP="00975D18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>Item 1</w:t>
            </w:r>
          </w:p>
        </w:tc>
        <w:tc>
          <w:tcPr>
            <w:tcW w:w="7740" w:type="dxa"/>
            <w:shd w:val="clear" w:color="auto" w:fill="BFBFBF" w:themeFill="background1" w:themeFillShade="BF"/>
          </w:tcPr>
          <w:p w:rsidR="00113327" w:rsidRPr="00A84740" w:rsidRDefault="00B35ED4" w:rsidP="00975D18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bCs/>
                <w:sz w:val="22"/>
              </w:rPr>
              <w:t>Audited Financial Statement</w:t>
            </w:r>
          </w:p>
        </w:tc>
      </w:tr>
      <w:tr w:rsidR="00076B0A" w:rsidRPr="00A84740" w:rsidTr="00435C87">
        <w:tc>
          <w:tcPr>
            <w:tcW w:w="1800" w:type="dxa"/>
            <w:shd w:val="clear" w:color="auto" w:fill="F2F2F2"/>
          </w:tcPr>
          <w:p w:rsidR="00076B0A" w:rsidRPr="00A84740" w:rsidRDefault="00113327" w:rsidP="00975D18">
            <w:pPr>
              <w:pStyle w:val="Heading2"/>
              <w:keepNext w:val="0"/>
              <w:spacing w:before="60" w:after="60"/>
              <w:rPr>
                <w:rFonts w:ascii="Palatino Linotype" w:hAnsi="Palatino Linotype"/>
                <w:smallCaps w:val="0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smallCaps w:val="0"/>
                <w:color w:val="auto"/>
                <w:sz w:val="22"/>
              </w:rPr>
              <w:t>Description</w:t>
            </w:r>
          </w:p>
        </w:tc>
        <w:tc>
          <w:tcPr>
            <w:tcW w:w="7740" w:type="dxa"/>
            <w:vAlign w:val="center"/>
          </w:tcPr>
          <w:p w:rsidR="00076B0A" w:rsidRPr="00A84740" w:rsidRDefault="00C376B6" w:rsidP="00932807">
            <w:pPr>
              <w:spacing w:before="60" w:after="60"/>
              <w:rPr>
                <w:rFonts w:ascii="Palatino Linotype" w:hAnsi="Palatino Linotype"/>
                <w:sz w:val="22"/>
                <w:szCs w:val="20"/>
              </w:rPr>
            </w:pPr>
            <w:r>
              <w:rPr>
                <w:rFonts w:ascii="Palatino Linotype" w:hAnsi="Palatino Linotype"/>
                <w:sz w:val="22"/>
                <w:szCs w:val="20"/>
              </w:rPr>
              <w:t>PA v</w:t>
            </w:r>
            <w:r w:rsidR="00B35ED4">
              <w:rPr>
                <w:rFonts w:ascii="Palatino Linotype" w:hAnsi="Palatino Linotype"/>
                <w:sz w:val="22"/>
                <w:szCs w:val="20"/>
              </w:rPr>
              <w:t>endor will submit the annual audited financial statement prepared by the Certified Public Accountant.</w:t>
            </w:r>
          </w:p>
        </w:tc>
      </w:tr>
    </w:tbl>
    <w:p w:rsidR="00CF5786" w:rsidRPr="00A84740" w:rsidRDefault="00136583">
      <w:pPr>
        <w:rPr>
          <w:b/>
          <w:bCs/>
          <w:i/>
          <w:iCs/>
        </w:rPr>
      </w:pPr>
      <w:r w:rsidRPr="00A84740">
        <w:rPr>
          <w:b/>
          <w:bCs/>
          <w:i/>
          <w:iCs/>
        </w:rPr>
        <w:t xml:space="preserve"> </w:t>
      </w:r>
    </w:p>
    <w:p w:rsidR="002146F6" w:rsidRDefault="00FC1A9E" w:rsidP="002146F6">
      <w:r>
        <w:rPr>
          <w:b/>
          <w:bCs/>
          <w:i/>
          <w:iCs/>
        </w:rPr>
        <w:br w:type="page"/>
      </w:r>
    </w:p>
    <w:p w:rsidR="002146F6" w:rsidRDefault="002146F6" w:rsidP="002146F6"/>
    <w:p w:rsidR="002146F6" w:rsidRDefault="002146F6" w:rsidP="002146F6"/>
    <w:tbl>
      <w:tblPr>
        <w:tblW w:w="954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740"/>
      </w:tblGrid>
      <w:tr w:rsidR="002146F6" w:rsidRPr="00A84740" w:rsidTr="002146F6">
        <w:trPr>
          <w:cantSplit/>
        </w:trPr>
        <w:tc>
          <w:tcPr>
            <w:tcW w:w="9540" w:type="dxa"/>
            <w:gridSpan w:val="2"/>
            <w:tcBorders>
              <w:bottom w:val="single" w:sz="4" w:space="0" w:color="auto"/>
            </w:tcBorders>
            <w:shd w:val="clear" w:color="auto" w:fill="0C0C0C"/>
          </w:tcPr>
          <w:p w:rsidR="002146F6" w:rsidRPr="00A84740" w:rsidRDefault="002146F6" w:rsidP="002146F6">
            <w:pPr>
              <w:pStyle w:val="Heading7"/>
              <w:keepNext w:val="0"/>
              <w:rPr>
                <w:rFonts w:ascii="Palatino Linotype" w:hAnsi="Palatino Linotype" w:cs="Times New Roman"/>
                <w:sz w:val="22"/>
              </w:rPr>
            </w:pPr>
            <w:r w:rsidRPr="00A84740">
              <w:rPr>
                <w:rFonts w:ascii="Palatino Linotype" w:hAnsi="Palatino Linotype" w:cs="Times New Roman"/>
                <w:sz w:val="22"/>
              </w:rPr>
              <w:t>General Report Description</w:t>
            </w:r>
          </w:p>
        </w:tc>
      </w:tr>
      <w:tr w:rsidR="002146F6" w:rsidRPr="00A84740" w:rsidTr="002146F6">
        <w:trPr>
          <w:cantSplit/>
        </w:trPr>
        <w:tc>
          <w:tcPr>
            <w:tcW w:w="9540" w:type="dxa"/>
            <w:gridSpan w:val="2"/>
            <w:shd w:val="clear" w:color="auto" w:fill="BFBFBF"/>
          </w:tcPr>
          <w:p w:rsidR="002146F6" w:rsidRPr="00A84740" w:rsidRDefault="002146F6" w:rsidP="002146F6">
            <w:pPr>
              <w:pStyle w:val="Heading8"/>
              <w:keepNext w:val="0"/>
              <w:rPr>
                <w:rFonts w:ascii="Palatino Linotype" w:hAnsi="Palatino Linotype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color w:val="auto"/>
                <w:sz w:val="22"/>
              </w:rPr>
              <w:t>QR-</w:t>
            </w:r>
            <w:r w:rsidR="00C246D2">
              <w:rPr>
                <w:rFonts w:ascii="Palatino Linotype" w:hAnsi="Palatino Linotype"/>
                <w:color w:val="auto"/>
                <w:sz w:val="22"/>
              </w:rPr>
              <w:t xml:space="preserve"> PAB   Completed PA for Billing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BFBFBF"/>
          </w:tcPr>
          <w:p w:rsidR="002146F6" w:rsidRPr="00A84740" w:rsidRDefault="002146F6" w:rsidP="002146F6">
            <w:pPr>
              <w:pStyle w:val="Heading3"/>
              <w:keepNext w:val="0"/>
              <w:spacing w:before="60" w:after="60"/>
              <w:rPr>
                <w:rFonts w:ascii="Palatino Linotype" w:hAnsi="Palatino Linotype" w:cs="Times New Roman"/>
                <w:i w:val="0"/>
                <w:iCs w:val="0"/>
                <w:smallCaps w:val="0"/>
                <w:sz w:val="22"/>
              </w:rPr>
            </w:pPr>
            <w:r w:rsidRPr="00A84740">
              <w:rPr>
                <w:rFonts w:ascii="Palatino Linotype" w:hAnsi="Palatino Linotype" w:cs="Times New Roman"/>
                <w:i w:val="0"/>
                <w:iCs w:val="0"/>
                <w:smallCaps w:val="0"/>
                <w:sz w:val="22"/>
              </w:rPr>
              <w:t>Purpose</w:t>
            </w:r>
          </w:p>
        </w:tc>
        <w:tc>
          <w:tcPr>
            <w:tcW w:w="7740" w:type="dxa"/>
          </w:tcPr>
          <w:p w:rsidR="002146F6" w:rsidRPr="00E63932" w:rsidRDefault="00C246D2" w:rsidP="00E63932">
            <w:pPr>
              <w:pStyle w:val="NoSpacing"/>
              <w:rPr>
                <w:rFonts w:ascii="Palatino Linotype" w:hAnsi="Palatino Linotype"/>
              </w:rPr>
            </w:pPr>
            <w:r w:rsidRPr="00852339">
              <w:rPr>
                <w:rFonts w:ascii="Palatino Linotype" w:hAnsi="Palatino Linotype"/>
              </w:rPr>
              <w:t xml:space="preserve">To identify the number of “completed prior authorizations” for the purpose of </w:t>
            </w:r>
            <w:r w:rsidR="00C376B6">
              <w:rPr>
                <w:rFonts w:ascii="Palatino Linotype" w:hAnsi="Palatino Linotype"/>
              </w:rPr>
              <w:t>PA v</w:t>
            </w:r>
            <w:r w:rsidR="00A23A4E">
              <w:rPr>
                <w:rFonts w:ascii="Palatino Linotype" w:hAnsi="Palatino Linotype"/>
              </w:rPr>
              <w:t>endor</w:t>
            </w:r>
            <w:r w:rsidRPr="00852339">
              <w:rPr>
                <w:rFonts w:ascii="Palatino Linotype" w:hAnsi="Palatino Linotype"/>
              </w:rPr>
              <w:t xml:space="preserve"> billing to OMPP.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BFBFBF"/>
          </w:tcPr>
          <w:p w:rsidR="002146F6" w:rsidRPr="00A84740" w:rsidRDefault="002146F6" w:rsidP="002146F6">
            <w:pPr>
              <w:spacing w:before="60" w:after="6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>Format</w:t>
            </w:r>
          </w:p>
        </w:tc>
        <w:tc>
          <w:tcPr>
            <w:tcW w:w="7740" w:type="dxa"/>
          </w:tcPr>
          <w:p w:rsidR="002146F6" w:rsidRPr="00A84740" w:rsidRDefault="002146F6" w:rsidP="002146F6">
            <w:pPr>
              <w:spacing w:before="60" w:after="60"/>
              <w:rPr>
                <w:rFonts w:ascii="Palatino Linotype" w:hAnsi="Palatino Linotype"/>
                <w:sz w:val="22"/>
              </w:rPr>
            </w:pPr>
            <w:r w:rsidRPr="00A84740">
              <w:rPr>
                <w:rFonts w:ascii="Palatino Linotype" w:hAnsi="Palatino Linotype"/>
                <w:sz w:val="22"/>
              </w:rPr>
              <w:t xml:space="preserve">Excel template </w:t>
            </w:r>
          </w:p>
        </w:tc>
      </w:tr>
      <w:tr w:rsidR="002146F6" w:rsidRPr="00A84740" w:rsidTr="002146F6">
        <w:tc>
          <w:tcPr>
            <w:tcW w:w="1800" w:type="dxa"/>
            <w:tcBorders>
              <w:bottom w:val="single" w:sz="4" w:space="0" w:color="auto"/>
            </w:tcBorders>
            <w:shd w:val="clear" w:color="auto" w:fill="BFBFBF"/>
          </w:tcPr>
          <w:p w:rsidR="002146F6" w:rsidRPr="00A84740" w:rsidRDefault="002146F6" w:rsidP="002146F6">
            <w:pPr>
              <w:pStyle w:val="Heading5"/>
              <w:keepNext w:val="0"/>
              <w:spacing w:before="60" w:after="60"/>
              <w:rPr>
                <w:rFonts w:ascii="Palatino Linotype" w:hAnsi="Palatino Linotype"/>
                <w:i w:val="0"/>
                <w:iCs w:val="0"/>
                <w:sz w:val="22"/>
              </w:rPr>
            </w:pPr>
            <w:r w:rsidRPr="00A84740">
              <w:rPr>
                <w:rFonts w:ascii="Palatino Linotype" w:hAnsi="Palatino Linotype"/>
                <w:i w:val="0"/>
                <w:iCs w:val="0"/>
                <w:sz w:val="22"/>
              </w:rPr>
              <w:t>Qualifications/ Definitions</w:t>
            </w:r>
          </w:p>
        </w:tc>
        <w:tc>
          <w:tcPr>
            <w:tcW w:w="7740" w:type="dxa"/>
            <w:tcBorders>
              <w:bottom w:val="single" w:sz="4" w:space="0" w:color="auto"/>
            </w:tcBorders>
            <w:shd w:val="clear" w:color="auto" w:fill="auto"/>
          </w:tcPr>
          <w:p w:rsidR="002146F6" w:rsidRPr="00A84740" w:rsidRDefault="00C246D2" w:rsidP="00E63932">
            <w:pPr>
              <w:pStyle w:val="NoSpacing"/>
              <w:rPr>
                <w:rFonts w:ascii="Palatino Linotype" w:hAnsi="Palatino Linotype"/>
              </w:rPr>
            </w:pPr>
            <w:r w:rsidRPr="00852339">
              <w:rPr>
                <w:rFonts w:ascii="Palatino Linotype" w:hAnsi="Palatino Linotype"/>
              </w:rPr>
              <w:t>This is a quarterly report to be submitted to OMPP by the last day of the month following the end of the reporting quarter</w:t>
            </w:r>
            <w:r>
              <w:rPr>
                <w:rFonts w:ascii="Palatino Linotype" w:hAnsi="Palatino Linotype"/>
              </w:rPr>
              <w:t>.  The data corresponds to the</w:t>
            </w:r>
            <w:r w:rsidRPr="00852339">
              <w:rPr>
                <w:rFonts w:ascii="Palatino Linotype" w:hAnsi="Palatino Linotype"/>
              </w:rPr>
              <w:t xml:space="preserve"> claim voucher</w:t>
            </w:r>
            <w:r>
              <w:rPr>
                <w:rFonts w:ascii="Palatino Linotype" w:hAnsi="Palatino Linotype"/>
              </w:rPr>
              <w:t>s submitted to OMPP</w:t>
            </w:r>
            <w:r w:rsidRPr="00852339">
              <w:rPr>
                <w:rFonts w:ascii="Palatino Linotype" w:hAnsi="Palatino Linotype"/>
              </w:rPr>
              <w:t xml:space="preserve"> that reports units claimed for prior authorizations</w:t>
            </w:r>
            <w:r>
              <w:rPr>
                <w:rFonts w:ascii="Palatino Linotype" w:hAnsi="Palatino Linotype"/>
              </w:rPr>
              <w:t>.</w:t>
            </w:r>
            <w:r w:rsidRPr="00852339">
              <w:rPr>
                <w:rFonts w:ascii="Palatino Linotype" w:hAnsi="Palatino Linotype"/>
              </w:rPr>
              <w:t xml:space="preserve">  Please note, for each month a claim is submitted for PA, please include a copy of this report for that particular month.  Bills will still be submitted monthly to the state.</w:t>
            </w:r>
          </w:p>
        </w:tc>
      </w:tr>
      <w:tr w:rsidR="002146F6" w:rsidRPr="00A84740" w:rsidTr="002146F6">
        <w:trPr>
          <w:cantSplit/>
        </w:trPr>
        <w:tc>
          <w:tcPr>
            <w:tcW w:w="9540" w:type="dxa"/>
            <w:gridSpan w:val="2"/>
            <w:tcBorders>
              <w:bottom w:val="single" w:sz="4" w:space="0" w:color="auto"/>
            </w:tcBorders>
            <w:shd w:val="clear" w:color="auto" w:fill="0C0C0C"/>
          </w:tcPr>
          <w:p w:rsidR="002146F6" w:rsidRPr="00A84740" w:rsidRDefault="002146F6" w:rsidP="00A23A4E">
            <w:pPr>
              <w:pStyle w:val="Heading7"/>
              <w:keepNext w:val="0"/>
              <w:rPr>
                <w:rFonts w:ascii="Palatino Linotype" w:hAnsi="Palatino Linotype" w:cs="Times New Roman"/>
                <w:sz w:val="22"/>
              </w:rPr>
            </w:pPr>
            <w:r w:rsidRPr="00A84740">
              <w:rPr>
                <w:rFonts w:ascii="Palatino Linotype" w:hAnsi="Palatino Linotype" w:cs="Times New Roman"/>
                <w:sz w:val="22"/>
              </w:rPr>
              <w:t>QR-</w:t>
            </w:r>
            <w:r w:rsidR="00A23A4E">
              <w:rPr>
                <w:rFonts w:ascii="Palatino Linotype" w:hAnsi="Palatino Linotype" w:cs="Times New Roman"/>
                <w:sz w:val="22"/>
              </w:rPr>
              <w:t>PAB</w:t>
            </w:r>
            <w:r w:rsidRPr="00A84740">
              <w:rPr>
                <w:rFonts w:ascii="Palatino Linotype" w:hAnsi="Palatino Linotype" w:cs="Times New Roman"/>
                <w:sz w:val="22"/>
              </w:rPr>
              <w:t xml:space="preserve"> Data Elements</w:t>
            </w:r>
          </w:p>
        </w:tc>
      </w:tr>
      <w:tr w:rsidR="002146F6" w:rsidRPr="00A84740" w:rsidTr="002146F6">
        <w:trPr>
          <w:cantSplit/>
        </w:trPr>
        <w:tc>
          <w:tcPr>
            <w:tcW w:w="1800" w:type="dxa"/>
            <w:shd w:val="clear" w:color="auto" w:fill="BFBFBF" w:themeFill="background1" w:themeFillShade="BF"/>
          </w:tcPr>
          <w:p w:rsidR="002146F6" w:rsidRPr="00A84740" w:rsidRDefault="002146F6" w:rsidP="002146F6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>Item 1</w:t>
            </w:r>
          </w:p>
        </w:tc>
        <w:tc>
          <w:tcPr>
            <w:tcW w:w="7740" w:type="dxa"/>
            <w:shd w:val="clear" w:color="auto" w:fill="BFBFBF" w:themeFill="background1" w:themeFillShade="BF"/>
          </w:tcPr>
          <w:p w:rsidR="002146F6" w:rsidRPr="00A84740" w:rsidRDefault="00C246D2" w:rsidP="002146F6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852339">
              <w:rPr>
                <w:rFonts w:ascii="Palatino Linotype" w:hAnsi="Palatino Linotype"/>
                <w:b/>
              </w:rPr>
              <w:t>Month 1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F2F2F2"/>
          </w:tcPr>
          <w:p w:rsidR="002146F6" w:rsidRPr="00A84740" w:rsidRDefault="002146F6" w:rsidP="002146F6">
            <w:pPr>
              <w:pStyle w:val="Heading2"/>
              <w:keepNext w:val="0"/>
              <w:spacing w:before="60" w:after="60"/>
              <w:rPr>
                <w:rFonts w:ascii="Palatino Linotype" w:hAnsi="Palatino Linotype"/>
                <w:smallCaps w:val="0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smallCaps w:val="0"/>
                <w:color w:val="auto"/>
                <w:sz w:val="22"/>
              </w:rPr>
              <w:t>Description</w:t>
            </w:r>
          </w:p>
        </w:tc>
        <w:tc>
          <w:tcPr>
            <w:tcW w:w="7740" w:type="dxa"/>
            <w:vAlign w:val="center"/>
          </w:tcPr>
          <w:p w:rsidR="002146F6" w:rsidRPr="00A84740" w:rsidRDefault="00C246D2" w:rsidP="00922588">
            <w:pPr>
              <w:pStyle w:val="NoSpacing"/>
              <w:rPr>
                <w:rFonts w:ascii="Palatino Linotype" w:hAnsi="Palatino Linotype"/>
                <w:szCs w:val="20"/>
              </w:rPr>
            </w:pPr>
            <w:r w:rsidRPr="00852339">
              <w:rPr>
                <w:rFonts w:ascii="Palatino Linotype" w:hAnsi="Palatino Linotype"/>
              </w:rPr>
              <w:t>First month in the quarterly reporting period</w:t>
            </w:r>
          </w:p>
        </w:tc>
      </w:tr>
      <w:tr w:rsidR="002146F6" w:rsidRPr="00A84740" w:rsidTr="002146F6">
        <w:trPr>
          <w:cantSplit/>
        </w:trPr>
        <w:tc>
          <w:tcPr>
            <w:tcW w:w="1800" w:type="dxa"/>
            <w:shd w:val="clear" w:color="auto" w:fill="BFBFBF"/>
          </w:tcPr>
          <w:p w:rsidR="002146F6" w:rsidRPr="00A84740" w:rsidRDefault="002146F6" w:rsidP="002146F6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>Item 2</w:t>
            </w:r>
          </w:p>
        </w:tc>
        <w:tc>
          <w:tcPr>
            <w:tcW w:w="7740" w:type="dxa"/>
            <w:shd w:val="clear" w:color="auto" w:fill="BFBFBF"/>
          </w:tcPr>
          <w:p w:rsidR="002146F6" w:rsidRPr="00A84740" w:rsidRDefault="00C246D2" w:rsidP="002146F6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852339">
              <w:rPr>
                <w:rFonts w:ascii="Palatino Linotype" w:hAnsi="Palatino Linotype"/>
                <w:b/>
              </w:rPr>
              <w:t>Month 2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F2F2F2"/>
          </w:tcPr>
          <w:p w:rsidR="002146F6" w:rsidRPr="00A84740" w:rsidRDefault="002146F6" w:rsidP="002146F6">
            <w:pPr>
              <w:pStyle w:val="Heading2"/>
              <w:keepNext w:val="0"/>
              <w:spacing w:before="60" w:after="60"/>
              <w:rPr>
                <w:rFonts w:ascii="Palatino Linotype" w:hAnsi="Palatino Linotype"/>
                <w:smallCaps w:val="0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smallCaps w:val="0"/>
                <w:color w:val="auto"/>
                <w:sz w:val="22"/>
              </w:rPr>
              <w:t>Description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2146F6" w:rsidRPr="00A84740" w:rsidRDefault="00C246D2" w:rsidP="00922588">
            <w:pPr>
              <w:pStyle w:val="NoSpacing"/>
              <w:rPr>
                <w:rFonts w:ascii="Palatino Linotype" w:hAnsi="Palatino Linotype"/>
                <w:szCs w:val="20"/>
              </w:rPr>
            </w:pPr>
            <w:r w:rsidRPr="00852339">
              <w:rPr>
                <w:rFonts w:ascii="Palatino Linotype" w:hAnsi="Palatino Linotype"/>
              </w:rPr>
              <w:t>Second month in the quarterly reporting period</w:t>
            </w:r>
          </w:p>
        </w:tc>
      </w:tr>
      <w:tr w:rsidR="002146F6" w:rsidRPr="00A84740" w:rsidTr="002146F6">
        <w:trPr>
          <w:cantSplit/>
        </w:trPr>
        <w:tc>
          <w:tcPr>
            <w:tcW w:w="1800" w:type="dxa"/>
            <w:shd w:val="clear" w:color="auto" w:fill="BFBFBF"/>
          </w:tcPr>
          <w:p w:rsidR="002146F6" w:rsidRPr="00A84740" w:rsidRDefault="002146F6" w:rsidP="002146F6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 xml:space="preserve">Item 3  </w:t>
            </w:r>
          </w:p>
        </w:tc>
        <w:tc>
          <w:tcPr>
            <w:tcW w:w="7740" w:type="dxa"/>
            <w:shd w:val="clear" w:color="auto" w:fill="BFBFBF"/>
          </w:tcPr>
          <w:p w:rsidR="002146F6" w:rsidRPr="00A84740" w:rsidRDefault="00C246D2" w:rsidP="00C246D2">
            <w:pPr>
              <w:spacing w:before="120" w:after="120"/>
              <w:rPr>
                <w:rFonts w:ascii="Palatino Linotype" w:hAnsi="Palatino Linotype"/>
                <w:b/>
                <w:bCs/>
                <w:sz w:val="22"/>
              </w:rPr>
            </w:pPr>
            <w:r w:rsidRPr="00852339">
              <w:rPr>
                <w:rFonts w:ascii="Palatino Linotype" w:hAnsi="Palatino Linotype"/>
                <w:b/>
              </w:rPr>
              <w:t>Month 3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F2F2F2"/>
          </w:tcPr>
          <w:p w:rsidR="002146F6" w:rsidRPr="00A84740" w:rsidRDefault="002146F6" w:rsidP="002146F6">
            <w:pPr>
              <w:pStyle w:val="Heading2"/>
              <w:keepNext w:val="0"/>
              <w:spacing w:before="60" w:after="60"/>
              <w:rPr>
                <w:rFonts w:ascii="Palatino Linotype" w:hAnsi="Palatino Linotype"/>
                <w:smallCaps w:val="0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smallCaps w:val="0"/>
                <w:color w:val="auto"/>
                <w:sz w:val="22"/>
              </w:rPr>
              <w:t>Description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2146F6" w:rsidRPr="00A84740" w:rsidRDefault="00C246D2" w:rsidP="002146F6">
            <w:pPr>
              <w:spacing w:before="60" w:after="60"/>
              <w:rPr>
                <w:rFonts w:ascii="Palatino Linotype" w:hAnsi="Palatino Linotype"/>
                <w:sz w:val="22"/>
                <w:szCs w:val="20"/>
              </w:rPr>
            </w:pPr>
            <w:r w:rsidRPr="00852339">
              <w:rPr>
                <w:rFonts w:ascii="Palatino Linotype" w:hAnsi="Palatino Linotype"/>
              </w:rPr>
              <w:t>Third month in the quarterly reporting period</w:t>
            </w:r>
          </w:p>
        </w:tc>
      </w:tr>
      <w:tr w:rsidR="002146F6" w:rsidRPr="00A84740" w:rsidTr="002146F6">
        <w:trPr>
          <w:cantSplit/>
        </w:trPr>
        <w:tc>
          <w:tcPr>
            <w:tcW w:w="1800" w:type="dxa"/>
            <w:shd w:val="clear" w:color="auto" w:fill="BFBFBF"/>
          </w:tcPr>
          <w:p w:rsidR="002146F6" w:rsidRPr="00A84740" w:rsidRDefault="002146F6" w:rsidP="002146F6">
            <w:pPr>
              <w:spacing w:before="120" w:after="120"/>
              <w:rPr>
                <w:rFonts w:ascii="Palatino Linotype" w:hAnsi="Palatino Linotype"/>
                <w:sz w:val="22"/>
              </w:rPr>
            </w:pPr>
            <w:r w:rsidRPr="00A84740">
              <w:rPr>
                <w:rFonts w:ascii="Palatino Linotype" w:hAnsi="Palatino Linotype"/>
                <w:b/>
                <w:bCs/>
                <w:sz w:val="22"/>
              </w:rPr>
              <w:t xml:space="preserve">Item 4  </w:t>
            </w:r>
          </w:p>
        </w:tc>
        <w:tc>
          <w:tcPr>
            <w:tcW w:w="7740" w:type="dxa"/>
            <w:shd w:val="clear" w:color="auto" w:fill="BFBFBF"/>
          </w:tcPr>
          <w:p w:rsidR="002146F6" w:rsidRPr="00A84740" w:rsidRDefault="00C246D2" w:rsidP="002146F6">
            <w:pPr>
              <w:spacing w:before="120" w:after="120"/>
              <w:rPr>
                <w:rFonts w:ascii="Palatino Linotype" w:hAnsi="Palatino Linotype"/>
                <w:sz w:val="22"/>
              </w:rPr>
            </w:pPr>
            <w:r w:rsidRPr="00852339">
              <w:rPr>
                <w:rFonts w:ascii="Palatino Linotype" w:hAnsi="Palatino Linotype"/>
                <w:b/>
              </w:rPr>
              <w:t>Total Completed Prior Authorizations</w:t>
            </w:r>
          </w:p>
        </w:tc>
      </w:tr>
      <w:tr w:rsidR="002146F6" w:rsidRPr="00A84740" w:rsidTr="002146F6">
        <w:tc>
          <w:tcPr>
            <w:tcW w:w="1800" w:type="dxa"/>
            <w:shd w:val="clear" w:color="auto" w:fill="F2F2F2"/>
          </w:tcPr>
          <w:p w:rsidR="002146F6" w:rsidRPr="00A84740" w:rsidRDefault="002146F6" w:rsidP="002146F6">
            <w:pPr>
              <w:pStyle w:val="Heading2"/>
              <w:keepNext w:val="0"/>
              <w:spacing w:before="60" w:after="60"/>
              <w:rPr>
                <w:rFonts w:ascii="Palatino Linotype" w:hAnsi="Palatino Linotype"/>
                <w:smallCaps w:val="0"/>
                <w:color w:val="auto"/>
                <w:sz w:val="22"/>
              </w:rPr>
            </w:pPr>
            <w:r w:rsidRPr="00A84740">
              <w:rPr>
                <w:rFonts w:ascii="Palatino Linotype" w:hAnsi="Palatino Linotype"/>
                <w:smallCaps w:val="0"/>
                <w:color w:val="auto"/>
                <w:sz w:val="22"/>
              </w:rPr>
              <w:t>Description</w:t>
            </w:r>
          </w:p>
        </w:tc>
        <w:tc>
          <w:tcPr>
            <w:tcW w:w="7740" w:type="dxa"/>
          </w:tcPr>
          <w:p w:rsidR="002146F6" w:rsidRPr="00A84740" w:rsidRDefault="00C246D2" w:rsidP="002146F6">
            <w:pPr>
              <w:spacing w:before="60" w:after="60"/>
              <w:rPr>
                <w:rFonts w:ascii="Palatino Linotype" w:hAnsi="Palatino Linotype"/>
                <w:sz w:val="22"/>
              </w:rPr>
            </w:pPr>
            <w:r w:rsidRPr="00852339">
              <w:rPr>
                <w:rFonts w:ascii="Palatino Linotype" w:hAnsi="Palatino Linotype"/>
              </w:rPr>
              <w:t>Defined as the total number of prior authorization requests with the following statuses:  approved, modified, rejected, denied, and not required.  Please note that this total does not include auto-denied or auto-approved prior authorizations</w:t>
            </w:r>
            <w:r w:rsidR="00922588">
              <w:rPr>
                <w:rFonts w:ascii="Palatino Linotype" w:hAnsi="Palatino Linotype"/>
              </w:rPr>
              <w:t>.</w:t>
            </w:r>
          </w:p>
        </w:tc>
      </w:tr>
    </w:tbl>
    <w:p w:rsidR="002146F6" w:rsidRPr="00A84740" w:rsidRDefault="002146F6" w:rsidP="002146F6">
      <w:pPr>
        <w:rPr>
          <w:b/>
          <w:bCs/>
          <w:i/>
          <w:iCs/>
        </w:rPr>
      </w:pPr>
      <w:r w:rsidRPr="00A84740">
        <w:rPr>
          <w:b/>
          <w:bCs/>
          <w:i/>
          <w:iCs/>
        </w:rPr>
        <w:t xml:space="preserve"> </w:t>
      </w:r>
    </w:p>
    <w:p w:rsidR="002146F6" w:rsidRDefault="002146F6" w:rsidP="002146F6">
      <w:pPr>
        <w:rPr>
          <w:b/>
          <w:bCs/>
          <w:i/>
          <w:iCs/>
        </w:rPr>
      </w:pPr>
    </w:p>
    <w:sectPr w:rsidR="002146F6" w:rsidSect="00856A93">
      <w:headerReference w:type="default" r:id="rId8"/>
      <w:footerReference w:type="default" r:id="rId9"/>
      <w:pgSz w:w="12240" w:h="15840" w:code="1"/>
      <w:pgMar w:top="1440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82E" w:rsidRDefault="009B682E">
      <w:r>
        <w:separator/>
      </w:r>
    </w:p>
  </w:endnote>
  <w:endnote w:type="continuationSeparator" w:id="0">
    <w:p w:rsidR="009B682E" w:rsidRDefault="009B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588" w:rsidRDefault="00922588">
    <w:pPr>
      <w:pStyle w:val="Footer"/>
    </w:pPr>
    <w:r>
      <w:t xml:space="preserve">Version </w:t>
    </w:r>
    <w:r w:rsidR="00A23A4E">
      <w:t>1.0</w:t>
    </w:r>
    <w:r>
      <w:tab/>
    </w:r>
    <w:r>
      <w:tab/>
      <w:t>III-</w:t>
    </w:r>
    <w:r w:rsidR="00A23A4E">
      <w:t>C</w:t>
    </w:r>
    <w:r>
      <w:t>-</w:t>
    </w:r>
    <w:r w:rsidR="00C376B6">
      <w:fldChar w:fldCharType="begin"/>
    </w:r>
    <w:r w:rsidR="00C376B6">
      <w:instrText xml:space="preserve"> PAGE   \* MERGEFORMAT </w:instrText>
    </w:r>
    <w:r w:rsidR="00C376B6">
      <w:fldChar w:fldCharType="separate"/>
    </w:r>
    <w:r w:rsidR="00C376B6">
      <w:rPr>
        <w:noProof/>
      </w:rPr>
      <w:t>2</w:t>
    </w:r>
    <w:r w:rsidR="00C376B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82E" w:rsidRDefault="009B682E">
      <w:r>
        <w:separator/>
      </w:r>
    </w:p>
  </w:footnote>
  <w:footnote w:type="continuationSeparator" w:id="0">
    <w:p w:rsidR="009B682E" w:rsidRDefault="009B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588" w:rsidRDefault="00922588">
    <w:pPr>
      <w:pStyle w:val="Header"/>
      <w:tabs>
        <w:tab w:val="clear" w:pos="4320"/>
        <w:tab w:val="clear" w:pos="8640"/>
        <w:tab w:val="center" w:pos="4680"/>
        <w:tab w:val="right" w:pos="10472"/>
      </w:tabs>
      <w:ind w:left="374" w:right="-680"/>
      <w:jc w:val="center"/>
      <w:rPr>
        <w:rFonts w:ascii="Palatino Linotype" w:hAnsi="Palatino Linotype"/>
        <w:b/>
        <w:bCs/>
        <w:sz w:val="22"/>
      </w:rPr>
    </w:pPr>
    <w:r>
      <w:rPr>
        <w:rFonts w:ascii="Palatino Linotype" w:hAnsi="Palatino Linotype"/>
        <w:b/>
        <w:bCs/>
        <w:sz w:val="22"/>
      </w:rPr>
      <w:t>Prior Authorization</w:t>
    </w:r>
    <w:r w:rsidR="00BC0F16">
      <w:rPr>
        <w:rFonts w:ascii="Palatino Linotype" w:hAnsi="Palatino Linotype"/>
        <w:b/>
        <w:bCs/>
        <w:sz w:val="22"/>
      </w:rPr>
      <w:t xml:space="preserve"> </w:t>
    </w:r>
    <w:r w:rsidR="00E63932">
      <w:rPr>
        <w:rFonts w:ascii="Palatino Linotype" w:hAnsi="Palatino Linotype"/>
        <w:b/>
        <w:bCs/>
        <w:sz w:val="22"/>
      </w:rPr>
      <w:t>-</w:t>
    </w:r>
    <w:r w:rsidR="00BC0F16">
      <w:rPr>
        <w:rFonts w:ascii="Palatino Linotype" w:hAnsi="Palatino Linotype"/>
        <w:b/>
        <w:bCs/>
        <w:sz w:val="22"/>
      </w:rPr>
      <w:t xml:space="preserve"> </w:t>
    </w:r>
    <w:r w:rsidR="00E63932">
      <w:rPr>
        <w:rFonts w:ascii="Palatino Linotype" w:hAnsi="Palatino Linotype"/>
        <w:b/>
        <w:bCs/>
        <w:sz w:val="22"/>
      </w:rPr>
      <w:t>Utilization Management</w:t>
    </w:r>
    <w:r>
      <w:rPr>
        <w:rFonts w:ascii="Palatino Linotype" w:hAnsi="Palatino Linotype"/>
        <w:b/>
        <w:bCs/>
        <w:sz w:val="22"/>
      </w:rPr>
      <w:t xml:space="preserve"> Reporting Manual</w:t>
    </w:r>
  </w:p>
  <w:p w:rsidR="00922588" w:rsidRDefault="00922588">
    <w:pPr>
      <w:pStyle w:val="Header"/>
      <w:tabs>
        <w:tab w:val="right" w:pos="10472"/>
      </w:tabs>
      <w:ind w:left="374" w:right="-680"/>
      <w:jc w:val="center"/>
      <w:rPr>
        <w:rFonts w:ascii="Palatino Linotype" w:hAnsi="Palatino Linotype"/>
        <w:b/>
        <w:bCs/>
        <w:sz w:val="22"/>
      </w:rPr>
    </w:pPr>
    <w:r>
      <w:rPr>
        <w:rFonts w:ascii="Palatino Linotype" w:hAnsi="Palatino Linotype"/>
        <w:b/>
        <w:bCs/>
        <w:sz w:val="22"/>
      </w:rPr>
      <w:t>Section III - C:  Financial Reports</w:t>
    </w:r>
  </w:p>
  <w:p w:rsidR="00922588" w:rsidRDefault="00922588">
    <w:pPr>
      <w:pStyle w:val="Header"/>
      <w:tabs>
        <w:tab w:val="right" w:pos="10472"/>
      </w:tabs>
      <w:ind w:left="374" w:right="-68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7DF"/>
    <w:multiLevelType w:val="hybridMultilevel"/>
    <w:tmpl w:val="005AE41E"/>
    <w:lvl w:ilvl="0" w:tplc="D8F49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4D41"/>
    <w:multiLevelType w:val="hybridMultilevel"/>
    <w:tmpl w:val="0CB00ECA"/>
    <w:lvl w:ilvl="0" w:tplc="F3F6A7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811F1"/>
    <w:multiLevelType w:val="hybridMultilevel"/>
    <w:tmpl w:val="D9EA9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622E"/>
    <w:multiLevelType w:val="hybridMultilevel"/>
    <w:tmpl w:val="AA36490C"/>
    <w:lvl w:ilvl="0" w:tplc="D8F49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E95"/>
    <w:multiLevelType w:val="hybridMultilevel"/>
    <w:tmpl w:val="A28A0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67B24"/>
    <w:multiLevelType w:val="hybridMultilevel"/>
    <w:tmpl w:val="AE2C40C6"/>
    <w:lvl w:ilvl="0" w:tplc="68585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D67C068E">
      <w:start w:val="160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CAFA9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alatino Linotype" w:hAnsi="Palatino Linotype" w:hint="default"/>
      </w:rPr>
    </w:lvl>
    <w:lvl w:ilvl="3" w:tplc="63064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alatino Linotype" w:hAnsi="Palatino Linotype" w:hint="default"/>
      </w:rPr>
    </w:lvl>
    <w:lvl w:ilvl="4" w:tplc="95847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alatino Linotype" w:hAnsi="Palatino Linotype" w:hint="default"/>
      </w:rPr>
    </w:lvl>
    <w:lvl w:ilvl="5" w:tplc="D4901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alatino Linotype" w:hAnsi="Palatino Linotype" w:hint="default"/>
      </w:rPr>
    </w:lvl>
    <w:lvl w:ilvl="6" w:tplc="60503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alatino Linotype" w:hAnsi="Palatino Linotype" w:hint="default"/>
      </w:rPr>
    </w:lvl>
    <w:lvl w:ilvl="7" w:tplc="AB929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alatino Linotype" w:hAnsi="Palatino Linotype" w:hint="default"/>
      </w:rPr>
    </w:lvl>
    <w:lvl w:ilvl="8" w:tplc="F53A4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alatino Linotype" w:hAnsi="Palatino Linotype" w:hint="default"/>
      </w:rPr>
    </w:lvl>
  </w:abstractNum>
  <w:abstractNum w:abstractNumId="6" w15:restartNumberingAfterBreak="0">
    <w:nsid w:val="53D43FB1"/>
    <w:multiLevelType w:val="hybridMultilevel"/>
    <w:tmpl w:val="6A06F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6407F"/>
    <w:multiLevelType w:val="hybridMultilevel"/>
    <w:tmpl w:val="0BF62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1BE"/>
    <w:multiLevelType w:val="hybridMultilevel"/>
    <w:tmpl w:val="9570904C"/>
    <w:lvl w:ilvl="0" w:tplc="F3F6A7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344F10"/>
    <w:multiLevelType w:val="multilevel"/>
    <w:tmpl w:val="AE2C40C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>
      <w:start w:val="160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alatino Linotype" w:hAnsi="Palatino Linotype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alatino Linotype" w:hAnsi="Palatino Linotype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alatino Linotype" w:hAnsi="Palatino Linotype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alatino Linotype" w:hAnsi="Palatino Linotype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alatino Linotype" w:hAnsi="Palatino Linotype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alatino Linotype" w:hAnsi="Palatino Linotype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alatino Linotype" w:hAnsi="Palatino Linotype" w:hint="default"/>
      </w:rPr>
    </w:lvl>
  </w:abstractNum>
  <w:abstractNum w:abstractNumId="10" w15:restartNumberingAfterBreak="0">
    <w:nsid w:val="6823440D"/>
    <w:multiLevelType w:val="hybridMultilevel"/>
    <w:tmpl w:val="DDC2E006"/>
    <w:lvl w:ilvl="0" w:tplc="68585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9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alatino Linotype" w:hAnsi="Palatino Linotype" w:hint="default"/>
      </w:rPr>
    </w:lvl>
    <w:lvl w:ilvl="3" w:tplc="63064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alatino Linotype" w:hAnsi="Palatino Linotype" w:hint="default"/>
      </w:rPr>
    </w:lvl>
    <w:lvl w:ilvl="4" w:tplc="95847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alatino Linotype" w:hAnsi="Palatino Linotype" w:hint="default"/>
      </w:rPr>
    </w:lvl>
    <w:lvl w:ilvl="5" w:tplc="D4901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alatino Linotype" w:hAnsi="Palatino Linotype" w:hint="default"/>
      </w:rPr>
    </w:lvl>
    <w:lvl w:ilvl="6" w:tplc="60503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alatino Linotype" w:hAnsi="Palatino Linotype" w:hint="default"/>
      </w:rPr>
    </w:lvl>
    <w:lvl w:ilvl="7" w:tplc="AB929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alatino Linotype" w:hAnsi="Palatino Linotype" w:hint="default"/>
      </w:rPr>
    </w:lvl>
    <w:lvl w:ilvl="8" w:tplc="F53A4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alatino Linotype" w:hAnsi="Palatino Linotype" w:hint="default"/>
      </w:rPr>
    </w:lvl>
  </w:abstractNum>
  <w:abstractNum w:abstractNumId="11" w15:restartNumberingAfterBreak="0">
    <w:nsid w:val="75C55319"/>
    <w:multiLevelType w:val="hybridMultilevel"/>
    <w:tmpl w:val="7D803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80"/>
    <w:rsid w:val="00005282"/>
    <w:rsid w:val="00023F35"/>
    <w:rsid w:val="00024D07"/>
    <w:rsid w:val="00042A76"/>
    <w:rsid w:val="00042AB7"/>
    <w:rsid w:val="000606EC"/>
    <w:rsid w:val="0007047A"/>
    <w:rsid w:val="0007160D"/>
    <w:rsid w:val="00076B0A"/>
    <w:rsid w:val="00082815"/>
    <w:rsid w:val="000877BA"/>
    <w:rsid w:val="000A3762"/>
    <w:rsid w:val="000A3D2D"/>
    <w:rsid w:val="000A4C63"/>
    <w:rsid w:val="000B4BB6"/>
    <w:rsid w:val="000C251A"/>
    <w:rsid w:val="000D5DB1"/>
    <w:rsid w:val="000F6298"/>
    <w:rsid w:val="0010170D"/>
    <w:rsid w:val="00105BCB"/>
    <w:rsid w:val="001067E0"/>
    <w:rsid w:val="00113327"/>
    <w:rsid w:val="001174B7"/>
    <w:rsid w:val="00136583"/>
    <w:rsid w:val="00153742"/>
    <w:rsid w:val="00154DB3"/>
    <w:rsid w:val="00172FB2"/>
    <w:rsid w:val="00180E4E"/>
    <w:rsid w:val="00181ACF"/>
    <w:rsid w:val="0018204B"/>
    <w:rsid w:val="00182F4D"/>
    <w:rsid w:val="0018653E"/>
    <w:rsid w:val="001A235A"/>
    <w:rsid w:val="001F2414"/>
    <w:rsid w:val="00201625"/>
    <w:rsid w:val="0020338A"/>
    <w:rsid w:val="002146F6"/>
    <w:rsid w:val="002350A2"/>
    <w:rsid w:val="00265FBE"/>
    <w:rsid w:val="002842DF"/>
    <w:rsid w:val="0029600B"/>
    <w:rsid w:val="002A3FE8"/>
    <w:rsid w:val="002A468A"/>
    <w:rsid w:val="002C2A58"/>
    <w:rsid w:val="002C60C1"/>
    <w:rsid w:val="002C660D"/>
    <w:rsid w:val="003028B0"/>
    <w:rsid w:val="00316EC7"/>
    <w:rsid w:val="003271F1"/>
    <w:rsid w:val="003551D9"/>
    <w:rsid w:val="00357997"/>
    <w:rsid w:val="00362AF3"/>
    <w:rsid w:val="00371F16"/>
    <w:rsid w:val="00390877"/>
    <w:rsid w:val="00391587"/>
    <w:rsid w:val="003A2C88"/>
    <w:rsid w:val="003A638F"/>
    <w:rsid w:val="003F283E"/>
    <w:rsid w:val="003F5CA9"/>
    <w:rsid w:val="004250D5"/>
    <w:rsid w:val="00435C87"/>
    <w:rsid w:val="00462BB8"/>
    <w:rsid w:val="00483256"/>
    <w:rsid w:val="00485A46"/>
    <w:rsid w:val="00494FEF"/>
    <w:rsid w:val="004A66D2"/>
    <w:rsid w:val="004B5F0A"/>
    <w:rsid w:val="004B7926"/>
    <w:rsid w:val="004D3DE8"/>
    <w:rsid w:val="004D72A8"/>
    <w:rsid w:val="004D7FB9"/>
    <w:rsid w:val="004E5DD3"/>
    <w:rsid w:val="004F1A93"/>
    <w:rsid w:val="00501446"/>
    <w:rsid w:val="005021BC"/>
    <w:rsid w:val="005063B7"/>
    <w:rsid w:val="00517B6E"/>
    <w:rsid w:val="00525D82"/>
    <w:rsid w:val="005379B7"/>
    <w:rsid w:val="005500A1"/>
    <w:rsid w:val="00570489"/>
    <w:rsid w:val="00584E02"/>
    <w:rsid w:val="0059511D"/>
    <w:rsid w:val="005A3E25"/>
    <w:rsid w:val="005A57D7"/>
    <w:rsid w:val="005B33E7"/>
    <w:rsid w:val="005C7ED8"/>
    <w:rsid w:val="005F1E19"/>
    <w:rsid w:val="00602411"/>
    <w:rsid w:val="00612B84"/>
    <w:rsid w:val="00612F0D"/>
    <w:rsid w:val="006536E4"/>
    <w:rsid w:val="00661D5C"/>
    <w:rsid w:val="00666535"/>
    <w:rsid w:val="00667B3E"/>
    <w:rsid w:val="00676F85"/>
    <w:rsid w:val="00677CC7"/>
    <w:rsid w:val="006A4E9D"/>
    <w:rsid w:val="006C1911"/>
    <w:rsid w:val="006E7304"/>
    <w:rsid w:val="006E7F9A"/>
    <w:rsid w:val="006F0C95"/>
    <w:rsid w:val="006F3AFC"/>
    <w:rsid w:val="006F3BA3"/>
    <w:rsid w:val="0072266E"/>
    <w:rsid w:val="00725718"/>
    <w:rsid w:val="00726AB8"/>
    <w:rsid w:val="007440F2"/>
    <w:rsid w:val="0074650E"/>
    <w:rsid w:val="007651C2"/>
    <w:rsid w:val="00770206"/>
    <w:rsid w:val="00771007"/>
    <w:rsid w:val="00790B12"/>
    <w:rsid w:val="007975E7"/>
    <w:rsid w:val="007B3FF5"/>
    <w:rsid w:val="007B6F08"/>
    <w:rsid w:val="007E1412"/>
    <w:rsid w:val="007F1DB4"/>
    <w:rsid w:val="00810E24"/>
    <w:rsid w:val="008132D9"/>
    <w:rsid w:val="008229FD"/>
    <w:rsid w:val="008327B9"/>
    <w:rsid w:val="008524AF"/>
    <w:rsid w:val="00856A93"/>
    <w:rsid w:val="00856FDE"/>
    <w:rsid w:val="00861CA1"/>
    <w:rsid w:val="00881179"/>
    <w:rsid w:val="008A5347"/>
    <w:rsid w:val="008C437D"/>
    <w:rsid w:val="008D0B25"/>
    <w:rsid w:val="008D3BB6"/>
    <w:rsid w:val="008F259B"/>
    <w:rsid w:val="008F7820"/>
    <w:rsid w:val="0090190E"/>
    <w:rsid w:val="00910084"/>
    <w:rsid w:val="00921816"/>
    <w:rsid w:val="00922588"/>
    <w:rsid w:val="0092610F"/>
    <w:rsid w:val="00932807"/>
    <w:rsid w:val="009416EB"/>
    <w:rsid w:val="009501FC"/>
    <w:rsid w:val="00972EA7"/>
    <w:rsid w:val="00975D18"/>
    <w:rsid w:val="00982E80"/>
    <w:rsid w:val="009B682E"/>
    <w:rsid w:val="009F1901"/>
    <w:rsid w:val="009F6D76"/>
    <w:rsid w:val="009F70EB"/>
    <w:rsid w:val="00A019B7"/>
    <w:rsid w:val="00A23A4E"/>
    <w:rsid w:val="00A30919"/>
    <w:rsid w:val="00A37E72"/>
    <w:rsid w:val="00A44AF3"/>
    <w:rsid w:val="00A566EE"/>
    <w:rsid w:val="00A618EE"/>
    <w:rsid w:val="00A824A0"/>
    <w:rsid w:val="00A84740"/>
    <w:rsid w:val="00AB194F"/>
    <w:rsid w:val="00AC210C"/>
    <w:rsid w:val="00B03D27"/>
    <w:rsid w:val="00B35ED4"/>
    <w:rsid w:val="00B50166"/>
    <w:rsid w:val="00B60DB7"/>
    <w:rsid w:val="00B975E8"/>
    <w:rsid w:val="00BC0F16"/>
    <w:rsid w:val="00BC3030"/>
    <w:rsid w:val="00BE1399"/>
    <w:rsid w:val="00BE62DD"/>
    <w:rsid w:val="00BF2007"/>
    <w:rsid w:val="00BF3C6E"/>
    <w:rsid w:val="00C0467E"/>
    <w:rsid w:val="00C05BA2"/>
    <w:rsid w:val="00C22180"/>
    <w:rsid w:val="00C22EA5"/>
    <w:rsid w:val="00C246D2"/>
    <w:rsid w:val="00C376B6"/>
    <w:rsid w:val="00C414C1"/>
    <w:rsid w:val="00C418FE"/>
    <w:rsid w:val="00C540EE"/>
    <w:rsid w:val="00C714C2"/>
    <w:rsid w:val="00C717A3"/>
    <w:rsid w:val="00C72E32"/>
    <w:rsid w:val="00C830D2"/>
    <w:rsid w:val="00CB43C2"/>
    <w:rsid w:val="00CC1016"/>
    <w:rsid w:val="00CC7FC2"/>
    <w:rsid w:val="00CE0803"/>
    <w:rsid w:val="00CE2D6D"/>
    <w:rsid w:val="00CF5786"/>
    <w:rsid w:val="00D011B4"/>
    <w:rsid w:val="00D33BB5"/>
    <w:rsid w:val="00D348AF"/>
    <w:rsid w:val="00D95C57"/>
    <w:rsid w:val="00DA0A30"/>
    <w:rsid w:val="00DA543E"/>
    <w:rsid w:val="00DB0698"/>
    <w:rsid w:val="00DB2980"/>
    <w:rsid w:val="00DD054B"/>
    <w:rsid w:val="00DE7124"/>
    <w:rsid w:val="00DE71B0"/>
    <w:rsid w:val="00E14113"/>
    <w:rsid w:val="00E142FD"/>
    <w:rsid w:val="00E27183"/>
    <w:rsid w:val="00E40925"/>
    <w:rsid w:val="00E46F06"/>
    <w:rsid w:val="00E622B9"/>
    <w:rsid w:val="00E63883"/>
    <w:rsid w:val="00E63932"/>
    <w:rsid w:val="00E63D5A"/>
    <w:rsid w:val="00E67470"/>
    <w:rsid w:val="00E85993"/>
    <w:rsid w:val="00E95FE1"/>
    <w:rsid w:val="00EB1305"/>
    <w:rsid w:val="00EC0CD0"/>
    <w:rsid w:val="00EC4FAC"/>
    <w:rsid w:val="00EC6FC0"/>
    <w:rsid w:val="00EC7FE2"/>
    <w:rsid w:val="00EF0E91"/>
    <w:rsid w:val="00EF24CA"/>
    <w:rsid w:val="00F145B7"/>
    <w:rsid w:val="00F234D9"/>
    <w:rsid w:val="00F31EEA"/>
    <w:rsid w:val="00F33B93"/>
    <w:rsid w:val="00F443CC"/>
    <w:rsid w:val="00F66B95"/>
    <w:rsid w:val="00F713EB"/>
    <w:rsid w:val="00F732BD"/>
    <w:rsid w:val="00F76AAF"/>
    <w:rsid w:val="00F875E6"/>
    <w:rsid w:val="00FA0066"/>
    <w:rsid w:val="00FA1E6A"/>
    <w:rsid w:val="00FB4F9A"/>
    <w:rsid w:val="00FB5C0F"/>
    <w:rsid w:val="00FC1A9E"/>
    <w:rsid w:val="00FE18A4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241E51-271E-4F55-A296-49C6AB9A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E5623"/>
    <w:rPr>
      <w:sz w:val="24"/>
      <w:szCs w:val="24"/>
    </w:rPr>
  </w:style>
  <w:style w:type="paragraph" w:styleId="Heading1">
    <w:name w:val="heading 1"/>
    <w:basedOn w:val="Normal"/>
    <w:next w:val="Normal"/>
    <w:qFormat/>
    <w:rsid w:val="00FE5623"/>
    <w:pPr>
      <w:keepNext/>
      <w:spacing w:before="60" w:after="60"/>
      <w:outlineLvl w:val="0"/>
    </w:pPr>
    <w:rPr>
      <w:rFonts w:ascii="Palatino Linotype" w:hAnsi="Palatino Linotype"/>
      <w:sz w:val="22"/>
      <w:u w:val="single"/>
    </w:rPr>
  </w:style>
  <w:style w:type="paragraph" w:styleId="Heading2">
    <w:name w:val="heading 2"/>
    <w:basedOn w:val="Normal"/>
    <w:next w:val="Normal"/>
    <w:link w:val="Heading2Char"/>
    <w:qFormat/>
    <w:rsid w:val="00FE5623"/>
    <w:pPr>
      <w:keepNext/>
      <w:outlineLvl w:val="1"/>
    </w:pPr>
    <w:rPr>
      <w:b/>
      <w:bCs/>
      <w:smallCaps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FE5623"/>
    <w:pPr>
      <w:keepNext/>
      <w:outlineLvl w:val="2"/>
    </w:pPr>
    <w:rPr>
      <w:rFonts w:ascii="Arial" w:hAnsi="Arial" w:cs="Arial"/>
      <w:b/>
      <w:bCs/>
      <w:i/>
      <w:iCs/>
      <w:smallCap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FE5623"/>
    <w:pPr>
      <w:keepNext/>
      <w:outlineLvl w:val="4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qFormat/>
    <w:rsid w:val="00FE5623"/>
    <w:pPr>
      <w:keepNext/>
      <w:spacing w:before="120" w:after="120"/>
      <w:jc w:val="center"/>
      <w:outlineLvl w:val="6"/>
    </w:pPr>
    <w:rPr>
      <w:rFonts w:ascii="Arial" w:hAnsi="Arial" w:cs="Arial"/>
      <w:b/>
      <w:bCs/>
      <w:color w:val="FFFFFF"/>
      <w:szCs w:val="20"/>
    </w:rPr>
  </w:style>
  <w:style w:type="paragraph" w:styleId="Heading8">
    <w:name w:val="heading 8"/>
    <w:basedOn w:val="Normal"/>
    <w:next w:val="Normal"/>
    <w:link w:val="Heading8Char"/>
    <w:qFormat/>
    <w:rsid w:val="00FE5623"/>
    <w:pPr>
      <w:keepNext/>
      <w:spacing w:before="120" w:after="120"/>
      <w:outlineLvl w:val="7"/>
    </w:pPr>
    <w:rPr>
      <w:b/>
      <w:bCs/>
      <w:color w:val="FFFFF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FE5623"/>
    <w:pPr>
      <w:spacing w:before="120" w:after="120"/>
    </w:pPr>
    <w:rPr>
      <w:rFonts w:ascii="Arial" w:hAnsi="Arial" w:cs="Arial"/>
      <w:b/>
      <w:bCs/>
      <w:color w:val="FFFFFF"/>
      <w:szCs w:val="20"/>
    </w:rPr>
  </w:style>
  <w:style w:type="paragraph" w:styleId="BodyText">
    <w:name w:val="Body Text"/>
    <w:basedOn w:val="Normal"/>
    <w:rsid w:val="00FE5623"/>
    <w:rPr>
      <w:rFonts w:ascii="Arial" w:hAnsi="Arial" w:cs="Arial"/>
      <w:color w:val="000000"/>
      <w:sz w:val="20"/>
      <w:szCs w:val="20"/>
    </w:rPr>
  </w:style>
  <w:style w:type="paragraph" w:styleId="Header">
    <w:name w:val="header"/>
    <w:basedOn w:val="Normal"/>
    <w:rsid w:val="00FE56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56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5623"/>
  </w:style>
  <w:style w:type="paragraph" w:styleId="BodyTextIndent">
    <w:name w:val="Body Text Indent"/>
    <w:basedOn w:val="Normal"/>
    <w:rsid w:val="00FE5623"/>
    <w:pPr>
      <w:ind w:left="180" w:hanging="180"/>
    </w:pPr>
    <w:rPr>
      <w:color w:val="000000"/>
      <w:sz w:val="20"/>
      <w:szCs w:val="20"/>
    </w:rPr>
  </w:style>
  <w:style w:type="paragraph" w:styleId="BodyText3">
    <w:name w:val="Body Text 3"/>
    <w:basedOn w:val="Normal"/>
    <w:rsid w:val="00FE5623"/>
    <w:pPr>
      <w:spacing w:before="60" w:after="60"/>
    </w:pPr>
    <w:rPr>
      <w:rFonts w:ascii="Palatino Linotype" w:hAnsi="Palatino Linotype"/>
      <w:sz w:val="22"/>
    </w:rPr>
  </w:style>
  <w:style w:type="character" w:styleId="Hyperlink">
    <w:name w:val="Hyperlink"/>
    <w:basedOn w:val="DefaultParagraphFont"/>
    <w:rsid w:val="00FE5623"/>
    <w:rPr>
      <w:color w:val="0000FF"/>
      <w:u w:val="single"/>
    </w:rPr>
  </w:style>
  <w:style w:type="character" w:styleId="FollowedHyperlink">
    <w:name w:val="FollowedHyperlink"/>
    <w:basedOn w:val="DefaultParagraphFont"/>
    <w:rsid w:val="00FE5623"/>
    <w:rPr>
      <w:color w:val="800080"/>
      <w:u w:val="single"/>
    </w:rPr>
  </w:style>
  <w:style w:type="paragraph" w:styleId="BalloonText">
    <w:name w:val="Balloon Text"/>
    <w:basedOn w:val="Normal"/>
    <w:semiHidden/>
    <w:rsid w:val="006E730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BF3C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3C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3C6E"/>
  </w:style>
  <w:style w:type="paragraph" w:styleId="CommentSubject">
    <w:name w:val="annotation subject"/>
    <w:basedOn w:val="CommentText"/>
    <w:next w:val="CommentText"/>
    <w:link w:val="CommentSubjectChar"/>
    <w:rsid w:val="00BF3C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3C6E"/>
    <w:rPr>
      <w:b/>
      <w:bCs/>
    </w:rPr>
  </w:style>
  <w:style w:type="paragraph" w:styleId="Revision">
    <w:name w:val="Revision"/>
    <w:hidden/>
    <w:uiPriority w:val="99"/>
    <w:semiHidden/>
    <w:rsid w:val="00D011B4"/>
    <w:rPr>
      <w:sz w:val="24"/>
      <w:szCs w:val="24"/>
    </w:rPr>
  </w:style>
  <w:style w:type="paragraph" w:styleId="NoSpacing">
    <w:name w:val="No Spacing"/>
    <w:uiPriority w:val="1"/>
    <w:qFormat/>
    <w:rsid w:val="00B35ED4"/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2146F6"/>
    <w:rPr>
      <w:b/>
      <w:bCs/>
      <w:smallCaps/>
      <w:color w:val="000000"/>
    </w:rPr>
  </w:style>
  <w:style w:type="character" w:customStyle="1" w:styleId="Heading3Char">
    <w:name w:val="Heading 3 Char"/>
    <w:basedOn w:val="DefaultParagraphFont"/>
    <w:link w:val="Heading3"/>
    <w:rsid w:val="002146F6"/>
    <w:rPr>
      <w:rFonts w:ascii="Arial" w:hAnsi="Arial" w:cs="Arial"/>
      <w:b/>
      <w:bCs/>
      <w:i/>
      <w:iCs/>
      <w:smallCaps/>
    </w:rPr>
  </w:style>
  <w:style w:type="character" w:customStyle="1" w:styleId="Heading5Char">
    <w:name w:val="Heading 5 Char"/>
    <w:basedOn w:val="DefaultParagraphFont"/>
    <w:link w:val="Heading5"/>
    <w:rsid w:val="002146F6"/>
    <w:rPr>
      <w:b/>
      <w:bCs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146F6"/>
    <w:rPr>
      <w:rFonts w:ascii="Arial" w:hAnsi="Arial" w:cs="Arial"/>
      <w:b/>
      <w:bCs/>
      <w:color w:val="FFFFFF"/>
      <w:sz w:val="24"/>
    </w:rPr>
  </w:style>
  <w:style w:type="character" w:customStyle="1" w:styleId="Heading8Char">
    <w:name w:val="Heading 8 Char"/>
    <w:basedOn w:val="DefaultParagraphFont"/>
    <w:link w:val="Heading8"/>
    <w:rsid w:val="002146F6"/>
    <w:rPr>
      <w:b/>
      <w:bCs/>
      <w:color w:val="FFFF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1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F626-1358-41A0-B693-C8CD0FC8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Tucker Alan Inc.</Company>
  <LinksUpToDate>false</LinksUpToDate>
  <CharactersWithSpaces>1948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http://www.nr.com/julian.html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TAI</dc:creator>
  <cp:lastModifiedBy>Alex Fish</cp:lastModifiedBy>
  <cp:revision>2</cp:revision>
  <cp:lastPrinted>2009-10-26T15:24:00Z</cp:lastPrinted>
  <dcterms:created xsi:type="dcterms:W3CDTF">2018-10-25T16:36:00Z</dcterms:created>
  <dcterms:modified xsi:type="dcterms:W3CDTF">2018-10-25T16:36:00Z</dcterms:modified>
</cp:coreProperties>
</file>